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DE" w:rsidRPr="006345AE" w:rsidRDefault="00CA72DE" w:rsidP="00CA72DE">
      <w:pPr>
        <w:spacing w:after="160" w:line="312" w:lineRule="auto"/>
        <w:rPr>
          <w:rFonts w:ascii="Arial" w:eastAsia="Times New Roman" w:hAnsi="Arial" w:cs="Arial"/>
          <w:sz w:val="22"/>
          <w:szCs w:val="22"/>
        </w:rPr>
      </w:pPr>
      <w:r w:rsidRPr="006345AE">
        <w:rPr>
          <w:rStyle w:val="Fett"/>
          <w:rFonts w:ascii="Arial" w:eastAsia="Times New Roman" w:hAnsi="Arial" w:cs="Arial"/>
          <w:sz w:val="22"/>
          <w:szCs w:val="22"/>
        </w:rPr>
        <w:t xml:space="preserve">Kommentar zum Gesetzes - Entwurf einer SGB VIII - Reform </w:t>
      </w:r>
    </w:p>
    <w:p w:rsidR="00CA72DE" w:rsidRPr="006345AE" w:rsidRDefault="00CA72DE" w:rsidP="00CA72DE">
      <w:pPr>
        <w:spacing w:after="160" w:line="312" w:lineRule="auto"/>
        <w:rPr>
          <w:rFonts w:ascii="Arial" w:eastAsia="Times New Roman" w:hAnsi="Arial" w:cs="Arial"/>
          <w:sz w:val="22"/>
          <w:szCs w:val="22"/>
        </w:rPr>
      </w:pPr>
      <w:r w:rsidRPr="006345AE">
        <w:rPr>
          <w:rStyle w:val="Fett"/>
          <w:rFonts w:ascii="Arial" w:eastAsia="Times New Roman" w:hAnsi="Arial" w:cs="Arial"/>
          <w:sz w:val="22"/>
          <w:szCs w:val="22"/>
        </w:rPr>
        <w:t>Dr. Wolfgang Hammer , Hamburg, den 6.3.2017</w:t>
      </w:r>
    </w:p>
    <w:p w:rsidR="00CA72DE" w:rsidRPr="00CA72DE" w:rsidRDefault="00CA72DE" w:rsidP="00CA72DE">
      <w:pPr>
        <w:spacing w:after="160" w:line="31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CA72DE" w:rsidRPr="006345AE" w:rsidRDefault="00CA72DE" w:rsidP="00CA72DE">
      <w:pPr>
        <w:spacing w:after="160" w:line="312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6345AE">
        <w:rPr>
          <w:rStyle w:val="Fett"/>
          <w:rFonts w:ascii="Arial" w:eastAsia="Times New Roman" w:hAnsi="Arial" w:cs="Arial"/>
          <w:i/>
          <w:iCs/>
          <w:color w:val="0070C0"/>
          <w:sz w:val="28"/>
          <w:szCs w:val="28"/>
          <w:u w:val="single"/>
        </w:rPr>
        <w:t xml:space="preserve">Die Reform in der Sackgasse der politischen Selbst - Beschau - </w:t>
      </w:r>
      <w:r w:rsidR="006345AE">
        <w:rPr>
          <w:rStyle w:val="Fett"/>
          <w:rFonts w:ascii="Arial" w:eastAsia="Times New Roman" w:hAnsi="Arial" w:cs="Arial"/>
          <w:i/>
          <w:iCs/>
          <w:color w:val="0070C0"/>
          <w:sz w:val="28"/>
          <w:szCs w:val="28"/>
          <w:u w:val="single"/>
        </w:rPr>
        <w:br/>
      </w:r>
      <w:r w:rsidRPr="006345AE">
        <w:rPr>
          <w:rStyle w:val="Fett"/>
          <w:rFonts w:ascii="Arial" w:eastAsia="Times New Roman" w:hAnsi="Arial" w:cs="Arial"/>
          <w:i/>
          <w:iCs/>
          <w:color w:val="0070C0"/>
          <w:sz w:val="28"/>
          <w:szCs w:val="28"/>
          <w:u w:val="single"/>
        </w:rPr>
        <w:t>oder mehr Demokratie wagen!</w:t>
      </w:r>
    </w:p>
    <w:p w:rsidR="00CA72DE" w:rsidRPr="00CA72DE" w:rsidRDefault="00CA72DE" w:rsidP="00CA72DE">
      <w:pPr>
        <w:spacing w:after="160" w:line="312" w:lineRule="auto"/>
        <w:rPr>
          <w:rFonts w:ascii="Arial" w:eastAsia="Times New Roman" w:hAnsi="Arial" w:cs="Arial"/>
          <w:sz w:val="22"/>
          <w:szCs w:val="22"/>
        </w:rPr>
      </w:pPr>
    </w:p>
    <w:p w:rsidR="00CA72DE" w:rsidRPr="00CA72DE" w:rsidRDefault="00CA72DE" w:rsidP="006345AE">
      <w:pPr>
        <w:pStyle w:val="Listenabsatz"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Fonts w:ascii="Arial" w:eastAsia="Times New Roman" w:hAnsi="Arial" w:cs="Arial"/>
          <w:bCs/>
          <w:sz w:val="22"/>
          <w:szCs w:val="22"/>
        </w:rPr>
        <w:t xml:space="preserve">Nachdem der Entwurf eines neuen Kinder- und Jugendhilfegesetzes vom 3.2. vom BMFSFJ seitdem weder autorisiert noch dementiert wurde, führt kein Weg daran vorbei ihn ernst zu nehmen. 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Auch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wenn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inzwischen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bekannt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wurde,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CDU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Bundestagsfraktion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ihn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mit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tragen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will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Unterstützung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Ländern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bröckelt,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ist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Gefahr,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Entwurf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bookmarkStart w:id="0" w:name="_GoBack"/>
      <w:r w:rsidRPr="00CA72DE">
        <w:rPr>
          <w:rFonts w:ascii="Arial" w:eastAsia="Times New Roman" w:hAnsi="Arial" w:cs="Arial"/>
          <w:bCs/>
          <w:sz w:val="22"/>
          <w:szCs w:val="22"/>
        </w:rPr>
        <w:t>n</w:t>
      </w:r>
      <w:bookmarkEnd w:id="0"/>
      <w:r w:rsidRPr="00CA72DE">
        <w:rPr>
          <w:rFonts w:ascii="Arial" w:eastAsia="Times New Roman" w:hAnsi="Arial" w:cs="Arial"/>
          <w:bCs/>
          <w:sz w:val="22"/>
          <w:szCs w:val="22"/>
        </w:rPr>
        <w:t>och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dieser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Legislaturperiode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verabschiedet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wird,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zwar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geringer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geworden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aber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noch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gebannt.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CA72DE" w:rsidP="006345AE">
      <w:pPr>
        <w:tabs>
          <w:tab w:val="left" w:pos="426"/>
        </w:tabs>
        <w:spacing w:after="30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steht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immer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noch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Liste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Vorhaben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-Planung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für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laufende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Legislaturperiode.</w:t>
      </w:r>
    </w:p>
    <w:p w:rsidR="00CA72DE" w:rsidRPr="00CA72DE" w:rsidRDefault="00CA72DE" w:rsidP="006345AE">
      <w:pPr>
        <w:tabs>
          <w:tab w:val="left" w:pos="426"/>
        </w:tabs>
        <w:spacing w:after="30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Fonts w:ascii="Arial" w:eastAsia="Times New Roman" w:hAnsi="Arial" w:cs="Arial"/>
          <w:bCs/>
          <w:sz w:val="22"/>
          <w:szCs w:val="22"/>
        </w:rPr>
        <w:t>2.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Weiter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existent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ist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hinter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Entwurf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stehende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Haltung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durch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staatliche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Steuerung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Kontrolle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geprägten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Gestaltungsvorstellung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mangelnde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Bereitschaft,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notwendigen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Ausbau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Armutspräventiven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Infrastruktur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substanziellen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Stärkung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Kinder-Rechte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durch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Veränderung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finanziellen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rechtlichen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Rahmenbedingungen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zu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ermöglichen.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Fonts w:ascii="Arial" w:eastAsia="Times New Roman" w:hAnsi="Arial" w:cs="Arial"/>
          <w:bCs/>
          <w:sz w:val="22"/>
          <w:szCs w:val="22"/>
        </w:rPr>
        <w:t>3.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Druck,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gesamte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Fach-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Ebene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erzeugt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hat,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hat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Wirkungen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gezeigt,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zu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Änderungen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Regelungen,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Zeitablauf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Verfahren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geführt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haben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sich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von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Arbeits-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Fassung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von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23.8.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dadurch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abheben,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Teil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geplanten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Verschlechterungen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mehr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Teil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Gesetzesentwurfes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sind.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Geist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Gesetzes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ist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aber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Gleiche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geblieben.</w:t>
      </w:r>
    </w:p>
    <w:p w:rsidR="00CA72DE" w:rsidRPr="00CA72DE" w:rsidRDefault="00CA72DE" w:rsidP="006345AE">
      <w:pPr>
        <w:tabs>
          <w:tab w:val="left" w:pos="426"/>
        </w:tabs>
        <w:spacing w:after="30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Deshalb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darf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diese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Beurteilung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Blick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dafür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verstellen,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neue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Entwurf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Anforderungen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Reform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gerecht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wird.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Fonts w:ascii="Arial" w:eastAsia="Times New Roman" w:hAnsi="Arial" w:cs="Arial"/>
          <w:bCs/>
          <w:sz w:val="22"/>
          <w:szCs w:val="22"/>
        </w:rPr>
        <w:t>4.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Offensichtlich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ist,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BMJFSFJ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fachlichen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politischen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Diskurs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zur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SGB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VIII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Reform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öffentlich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Deutschen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Jugendhilfetag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(DJHT)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Düsseldorf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führen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will.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Bisher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ist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Düsseldorf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als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Veranstaltung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BMFSFJ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dazu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lediglich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A72DE">
        <w:rPr>
          <w:rFonts w:ascii="Arial" w:eastAsia="Times New Roman" w:hAnsi="Arial" w:cs="Arial"/>
          <w:bCs/>
          <w:sz w:val="22"/>
          <w:szCs w:val="22"/>
        </w:rPr>
        <w:t>One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Man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Show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29.3.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von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9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Uhr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11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Uhr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vorgesehen,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wo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Staatssekretär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Dr.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Ralf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A72DE">
        <w:rPr>
          <w:rFonts w:ascii="Arial" w:eastAsia="Times New Roman" w:hAnsi="Arial" w:cs="Arial"/>
          <w:bCs/>
          <w:sz w:val="22"/>
          <w:szCs w:val="22"/>
        </w:rPr>
        <w:t>Kleindiek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als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einziger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Referent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erlauchten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Publikum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erläutern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will,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sich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geplanten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Änderungen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Erkenntnissen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von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Wissenschaft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Praxis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herleiten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so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Programm-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Ankündigung.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umso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erstaunlicher,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dass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alles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was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Rang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Namen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hat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Praxis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Forschung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genau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bestreitet.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lastRenderedPageBreak/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Internet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Plattformen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Fachzeitschriften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sind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voll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kritischen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Stellungnahmen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aber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Diskurs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mit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Praxis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Wissenschaft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nicht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vorgesehen.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6345AE">
      <w:pPr>
        <w:tabs>
          <w:tab w:val="left" w:pos="426"/>
        </w:tabs>
        <w:spacing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Diskussionsleitung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ebenfalls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nicht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vorgesehen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weil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Diskussion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mit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Plenum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stattfinden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soll,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Kooperationspartner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gibt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nicht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weil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nur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Botschaft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gibt,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verkünden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gilt.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gibt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Ko-Referenten,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andere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Positionen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vertreten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könnten.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diesem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Demokratieverständnis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gibt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keinen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historischen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Vergleich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Geschichte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Jugendhilfetage,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wenn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weitgehende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politische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Veränderungen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auf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Agenda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standen.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Oh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kleinmütig!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forderte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doch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einst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Willy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Brandt: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Mehr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Demokratie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wagen!</w:t>
      </w:r>
    </w:p>
    <w:p w:rsidR="00CA72DE" w:rsidRPr="00CA72DE" w:rsidRDefault="006345AE" w:rsidP="006345AE">
      <w:pPr>
        <w:tabs>
          <w:tab w:val="left" w:pos="426"/>
        </w:tabs>
        <w:spacing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Wenn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BMJFSJ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davon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überzeugt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Reform-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Entwurf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öffentlich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vertreten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können,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dann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soll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geschehen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zwar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wo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Ort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großen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Diskurse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über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Weiterentwicklung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veränderte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gesellschaftliche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Rahmenbedingungen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führen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auf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Deutschen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Jugendhilfetag.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brauchen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aber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Diskurse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Monologe,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bei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denen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Beteiligungsmöglichkeiten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geringer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sind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Gemeinde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beim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Gottesdienst.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müssen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gemeinsam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gegen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halten.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6345AE">
      <w:pPr>
        <w:tabs>
          <w:tab w:val="left" w:pos="426"/>
        </w:tabs>
        <w:spacing w:after="30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Wenn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etwas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politisch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dann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diese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Reform!</w:t>
      </w:r>
    </w:p>
    <w:p w:rsidR="00CA72DE" w:rsidRPr="00CA72DE" w:rsidRDefault="00CA72DE" w:rsidP="006345AE">
      <w:pPr>
        <w:tabs>
          <w:tab w:val="left" w:pos="426"/>
        </w:tabs>
        <w:spacing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Fonts w:ascii="Arial" w:eastAsia="Times New Roman" w:hAnsi="Arial" w:cs="Arial"/>
          <w:bCs/>
          <w:sz w:val="22"/>
          <w:szCs w:val="22"/>
        </w:rPr>
        <w:t>5.</w:t>
      </w:r>
      <w:r w:rsidR="006345AE">
        <w:rPr>
          <w:rFonts w:ascii="Arial" w:eastAsia="Times New Roman" w:hAnsi="Arial" w:cs="Arial"/>
          <w:bCs/>
          <w:sz w:val="22"/>
          <w:szCs w:val="22"/>
        </w:rPr>
        <w:tab/>
      </w:r>
      <w:r w:rsidRPr="00CA72DE">
        <w:rPr>
          <w:rFonts w:ascii="Arial" w:eastAsia="Times New Roman" w:hAnsi="Arial" w:cs="Arial"/>
          <w:bCs/>
          <w:sz w:val="22"/>
          <w:szCs w:val="22"/>
        </w:rPr>
        <w:t>Die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Ankündigung,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Thema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Finanzierung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erst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nächs</w:t>
      </w:r>
      <w:r>
        <w:rPr>
          <w:rFonts w:ascii="Arial" w:eastAsia="Times New Roman" w:hAnsi="Arial" w:cs="Arial"/>
          <w:bCs/>
          <w:sz w:val="22"/>
          <w:szCs w:val="22"/>
        </w:rPr>
        <w:t xml:space="preserve">ten Legislaturperiode anzugehen </w:t>
      </w:r>
      <w:r w:rsidRPr="00CA72DE">
        <w:rPr>
          <w:rFonts w:ascii="Arial" w:eastAsia="Times New Roman" w:hAnsi="Arial" w:cs="Arial"/>
          <w:bCs/>
          <w:sz w:val="22"/>
          <w:szCs w:val="22"/>
        </w:rPr>
        <w:t>zeigt,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das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Reformvorhaben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weiter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unter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dem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Diktat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unzureichend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gestalteten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Finanz-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Bezieh</w:t>
      </w:r>
      <w:r>
        <w:rPr>
          <w:rFonts w:ascii="Arial" w:eastAsia="Times New Roman" w:hAnsi="Arial" w:cs="Arial"/>
          <w:bCs/>
          <w:sz w:val="22"/>
          <w:szCs w:val="22"/>
        </w:rPr>
        <w:t xml:space="preserve">ungen zwischen Bund und Ländern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Kommunen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steht,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was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insbesondere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Verzicht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auf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eine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eigenständige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Stärkung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Infrastruktur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verhindert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zwangsläufig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zu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Widersprüchen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zwischen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Reform-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Ansprüchen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und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deren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Umsetzbarkeit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führen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wird.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6345AE">
      <w:pPr>
        <w:tabs>
          <w:tab w:val="left" w:pos="426"/>
        </w:tabs>
        <w:spacing w:after="30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Insbesondere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kann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so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nicht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kommunale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Handlungsfähigkeit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präventiven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Kommunalpolitik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gegen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Armut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ihre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Folgen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verbessert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werden.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6.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Den Diskurs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über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Ursachen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Folgen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Armut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ihre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Bekämpfung brauchen wir aber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Orientierungsrahmen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für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Reform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Jugendhilfe.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Wenn,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gramStart"/>
      <w:r w:rsidR="00CA72DE" w:rsidRPr="00CA72DE">
        <w:rPr>
          <w:rFonts w:ascii="Arial" w:eastAsia="Times New Roman" w:hAnsi="Arial" w:cs="Arial"/>
          <w:bCs/>
          <w:sz w:val="22"/>
          <w:szCs w:val="22"/>
        </w:rPr>
        <w:t>zur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Zeit</w:t>
      </w:r>
      <w:proofErr w:type="gramEnd"/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alles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darauf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hinausläuft,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dass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neue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gesellschaftliche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Debatte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zum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Thema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</w:t>
      </w:r>
      <w:r w:rsidR="00CA72DE">
        <w:rPr>
          <w:rFonts w:ascii="Arial" w:eastAsia="Times New Roman" w:hAnsi="Arial" w:cs="Arial"/>
          <w:bCs/>
          <w:sz w:val="22"/>
          <w:szCs w:val="22"/>
        </w:rPr>
        <w:t>rechtigkeit geführt wird - auch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aber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nicht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nur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Thema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Bundestags-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Wahlkampfes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ist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notwendig,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dass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sich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einmischt.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br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geht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soziale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Ausgrenzung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Bildungsbenachteiligung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allen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Politikbereichen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Rolle,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</w:t>
      </w:r>
      <w:r w:rsidR="00CA72DE">
        <w:rPr>
          <w:rFonts w:ascii="Arial" w:eastAsia="Times New Roman" w:hAnsi="Arial" w:cs="Arial"/>
          <w:bCs/>
          <w:sz w:val="22"/>
          <w:szCs w:val="22"/>
        </w:rPr>
        <w:t>fe dabei spielen kann und soll.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Dazu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brauchen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breit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angelegten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Vorlauf,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jetzt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beg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innen sollte um ihn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in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nächsten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Legislaturperiode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fortzusetze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n und dann die Reform gemeinsam auf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Weg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lastRenderedPageBreak/>
        <w:t>zu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bringen.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müssen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Diskurs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Reform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mit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Frage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Finanzierung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Thema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Armuts-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Bekämpfung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verbinden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dürfen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Chance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umfassenden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echten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Reform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nicht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durch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kleine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Novelle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verspielen.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A72DE" w:rsidRPr="00CA72DE" w:rsidRDefault="006345A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Vor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allem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aber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müssen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wir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selber,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die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haupt-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ehr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enamtlichen Fachkräfte in Praxis, Lehre und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Forschung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hier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heute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den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Einmischungs-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Auftrag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§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1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des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Kinder-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und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Jugendhilfegesetzes</w:t>
      </w:r>
      <w:r w:rsidR="00CA72D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A72DE" w:rsidRPr="00CA72DE">
        <w:rPr>
          <w:rFonts w:ascii="Arial" w:eastAsia="Times New Roman" w:hAnsi="Arial" w:cs="Arial"/>
          <w:bCs/>
          <w:sz w:val="22"/>
          <w:szCs w:val="22"/>
        </w:rPr>
        <w:t>erfüllen: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</w:p>
    <w:p w:rsidR="00CA72DE" w:rsidRPr="00CA72DE" w:rsidRDefault="00CA72DE" w:rsidP="006345AE">
      <w:pPr>
        <w:spacing w:after="160" w:line="31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Jugendhilfe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soll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dazu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beizutragen,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positive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Lebensbedingungen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für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junge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Menschen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und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ihre</w:t>
      </w:r>
      <w:r w:rsidR="006345AE"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Familien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sowie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eine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kinder-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und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familienfreundliche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Umwelt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zu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erhalten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oder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zu</w:t>
      </w:r>
      <w:r>
        <w:rPr>
          <w:rStyle w:val="Hervorhebung"/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schaffen.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Style w:val="Hervorhebung"/>
          <w:rFonts w:ascii="Arial" w:eastAsia="Times New Roman" w:hAnsi="Arial" w:cs="Arial"/>
          <w:bCs/>
          <w:sz w:val="22"/>
          <w:szCs w:val="22"/>
        </w:rPr>
        <w:t>---------------------------------------------------------------------------------------------------------------------------</w:t>
      </w: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</w:p>
    <w:p w:rsidR="00CA72DE" w:rsidRPr="00CA72DE" w:rsidRDefault="00CA72DE" w:rsidP="00CA72DE">
      <w:pPr>
        <w:tabs>
          <w:tab w:val="left" w:pos="426"/>
        </w:tabs>
        <w:spacing w:after="160" w:line="312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CA72DE">
        <w:rPr>
          <w:rFonts w:ascii="Arial" w:eastAsia="Times New Roman" w:hAnsi="Arial" w:cs="Arial"/>
          <w:bCs/>
          <w:sz w:val="22"/>
          <w:szCs w:val="22"/>
        </w:rPr>
        <w:t>Ende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des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A72DE">
        <w:rPr>
          <w:rFonts w:ascii="Arial" w:eastAsia="Times New Roman" w:hAnsi="Arial" w:cs="Arial"/>
          <w:bCs/>
          <w:sz w:val="22"/>
          <w:szCs w:val="22"/>
        </w:rPr>
        <w:t>Kommentars</w:t>
      </w:r>
    </w:p>
    <w:p w:rsidR="00CA72DE" w:rsidRPr="00CA72DE" w:rsidRDefault="00CA72DE" w:rsidP="006345AE">
      <w:pPr>
        <w:tabs>
          <w:tab w:val="left" w:pos="426"/>
        </w:tabs>
        <w:spacing w:after="160" w:line="312" w:lineRule="auto"/>
        <w:rPr>
          <w:rFonts w:ascii="Arial" w:hAnsi="Arial" w:cs="Arial"/>
          <w:sz w:val="22"/>
          <w:szCs w:val="22"/>
        </w:rPr>
      </w:pPr>
    </w:p>
    <w:sectPr w:rsidR="00CA72DE" w:rsidRPr="00CA7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3BEC"/>
    <w:multiLevelType w:val="hybridMultilevel"/>
    <w:tmpl w:val="3C363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DE"/>
    <w:rsid w:val="001A7B6F"/>
    <w:rsid w:val="003E603B"/>
    <w:rsid w:val="006345AE"/>
    <w:rsid w:val="00C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8FCA-04B9-4E86-87B1-7B4A346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2D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A72DE"/>
    <w:rPr>
      <w:b/>
      <w:bCs/>
    </w:rPr>
  </w:style>
  <w:style w:type="character" w:styleId="Hervorhebung">
    <w:name w:val="Emphasis"/>
    <w:basedOn w:val="Absatz-Standardschriftart"/>
    <w:uiPriority w:val="20"/>
    <w:qFormat/>
    <w:rsid w:val="00CA72DE"/>
    <w:rPr>
      <w:i/>
      <w:iCs/>
    </w:rPr>
  </w:style>
  <w:style w:type="paragraph" w:styleId="Listenabsatz">
    <w:name w:val="List Paragraph"/>
    <w:basedOn w:val="Standard"/>
    <w:uiPriority w:val="34"/>
    <w:qFormat/>
    <w:rsid w:val="00C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Groth</dc:creator>
  <cp:keywords/>
  <dc:description/>
  <cp:lastModifiedBy>Marina Groth</cp:lastModifiedBy>
  <cp:revision>1</cp:revision>
  <dcterms:created xsi:type="dcterms:W3CDTF">2017-03-10T13:22:00Z</dcterms:created>
  <dcterms:modified xsi:type="dcterms:W3CDTF">2017-03-10T13:41:00Z</dcterms:modified>
</cp:coreProperties>
</file>